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Liberation Serif" w:hAnsi="Liberation Serif"/>
          <w:color w:val="000000"/>
        </w:rPr>
      </w:pPr>
      <w:r>
        <w:rPr>
          <w:rFonts w:cs="Arial" w:ascii="Liberation Serif" w:hAnsi="Liberation Serif"/>
          <w:b/>
          <w:bCs/>
          <w:color w:val="000000"/>
          <w:sz w:val="24"/>
          <w:szCs w:val="24"/>
        </w:rPr>
        <w:t>Informacja o przetwarzaniu danych osobowych</w:t>
      </w:r>
    </w:p>
    <w:p>
      <w:pPr>
        <w:pStyle w:val="Normal"/>
        <w:jc w:val="center"/>
        <w:rPr>
          <w:rFonts w:ascii="Liberation Serif" w:hAnsi="Liberation Serif"/>
          <w:color w:val="000000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</w:rPr>
        <w:t xml:space="preserve">ŻĄDANIE </w:t>
      </w: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</w:rPr>
        <w:t xml:space="preserve">WYDANIA ZAŚWIADCZENIA </w:t>
      </w: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</w:rPr>
        <w:t xml:space="preserve">O </w:t>
      </w: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</w:rPr>
        <w:t xml:space="preserve">WYSOKOŚCI PRZECIĘTNEGO MIESIĘCZNEGO </w:t>
      </w: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</w:rPr>
        <w:t xml:space="preserve">DOCHODU </w:t>
      </w: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</w:rPr>
        <w:t>PRZYPADAJĄCEGO NA JEDNEGO CZŁONKA GOSPODARSTWA DOMOWEGO</w:t>
      </w:r>
    </w:p>
    <w:tbl>
      <w:tblPr>
        <w:tblStyle w:val="Tabela-Siatka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2551"/>
        <w:gridCol w:w="5955"/>
      </w:tblGrid>
      <w:tr>
        <w:trPr>
          <w:trHeight w:val="2775" w:hRule="atLeast"/>
        </w:trPr>
        <w:tc>
          <w:tcPr>
            <w:tcW w:w="674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584" w:hanging="357"/>
              <w:contextualSpacing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Tożsamość i dane kontaktowe administratora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2"/>
                <w:szCs w:val="22"/>
              </w:rPr>
              <w:t>Administratorem Państwa danych osobowych jest  Ośrodek Pomocy Społecznej z siedzibą w Bystrzycy Kłodzkiej reprezentowany przez Kierownika.</w:t>
            </w:r>
          </w:p>
          <w:p>
            <w:pPr>
              <w:pStyle w:val="Default"/>
              <w:widowControl w:val="false"/>
              <w:suppressAutoHyphens w:val="tr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</w:rPr>
              <w:t>Kontakt z administratorem:</w:t>
            </w:r>
          </w:p>
          <w:p>
            <w:pPr>
              <w:pStyle w:val="Default"/>
              <w:widowControl w:val="false"/>
              <w:suppressAutoHyphens w:val="tr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</w:rPr>
              <w:t>1) Osobiście: w siedzibie Ośrodka Pomocy Społecznej ul. 1 Maja 1, 57-500 Bystrzyca Kłodzka.</w:t>
            </w:r>
          </w:p>
          <w:p>
            <w:pPr>
              <w:pStyle w:val="Default"/>
              <w:widowControl w:val="false"/>
              <w:suppressAutoHyphens w:val="tr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</w:rPr>
              <w:t>2) Telefonicznie: (74) 8110 266.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3) Pisemnie: na adres pocztowy Ośrodka lub na adres poczty elektronicznej: ops@bystrzycaklodzka.pl</w:t>
            </w:r>
          </w:p>
        </w:tc>
      </w:tr>
      <w:tr>
        <w:trPr>
          <w:trHeight w:val="1425" w:hRule="atLeast"/>
        </w:trPr>
        <w:tc>
          <w:tcPr>
            <w:tcW w:w="674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584" w:hanging="357"/>
              <w:contextualSpacing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Inspektor Ochrony Danych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W Ośrodku Pomocy Społecznej w Bystrzycy Kłodzkiej został wyznaczony Inspektor Ochrony Danych, z którym można skontaktować się za pośrednictwem poczty elektronicznej: </w:t>
            </w:r>
            <w:hyperlink r:id="rId2">
              <w:r>
                <w:rPr>
                  <w:rStyle w:val="Czeinternetowe"/>
                  <w:rFonts w:eastAsia="Calibri" w:cs="Liberation Serif" w:ascii="Liberation Serif" w:hAnsi="Liberation Serif"/>
                  <w:bCs/>
                  <w:color w:val="000000"/>
                  <w:kern w:val="0"/>
                  <w:sz w:val="22"/>
                  <w:szCs w:val="22"/>
                  <w:u w:val="none"/>
                  <w:lang w:val="pl-PL" w:eastAsia="en-US" w:bidi="ar-SA"/>
                </w:rPr>
                <w:t>iodumig@bystrzycaklodzka.pl</w:t>
              </w:r>
            </w:hyperlink>
          </w:p>
        </w:tc>
      </w:tr>
      <w:tr>
        <w:trPr>
          <w:trHeight w:val="1410" w:hRule="atLeast"/>
        </w:trPr>
        <w:tc>
          <w:tcPr>
            <w:tcW w:w="674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584" w:hanging="357"/>
              <w:contextualSpacing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Cele przetwarzania danych osobowych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Celem przetwarzania Pani/Pana danych osobowych jest </w:t>
            </w:r>
            <w:r>
              <w:rPr>
                <w:rFonts w:eastAsia="Calibri" w:cs="Liberation Serif" w:ascii="Liberation Serif" w:hAnsi="Liberation Serif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prowadzenie post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ępowania, wydanie zaświadczenia o wysokości przeciętnego miesięcznego dochodu lub innego rozstrzygnięcia w sprawie, zarchiwizowanie sprawy, (przekazanie dokumentów sprawy do archiwum).</w:t>
            </w:r>
          </w:p>
        </w:tc>
      </w:tr>
      <w:tr>
        <w:trPr>
          <w:trHeight w:val="5610" w:hRule="atLeast"/>
        </w:trPr>
        <w:tc>
          <w:tcPr>
            <w:tcW w:w="674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584" w:hanging="357"/>
              <w:contextualSpacing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podstawy prawne przetwarzania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Podstaw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ą prawną przetwarzania Pani/Pana danych osobowych jest art. 6 ust. 1 lit. c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(tj.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przetwarzanie danych osobowych jest niezbędne dla wypełnienia prawnego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obowiązku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ciążącego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na </w:t>
            </w:r>
            <w:r>
              <w:rPr>
                <w:rFonts w:eastAsia="Calibri" w:cs="Liberation Serif" w:ascii="Liberation Serif" w:hAnsi="Liberation Serif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administratorze), </w:t>
            </w: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w zwi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ązku z obowiązkami prawnymi określonymi w prawie krajowym: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ustawy z dnia 27 kwietnia 2001 r. Prawo ochrony środowiska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(t.j. Dz. U. Z 20219 r. poz.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1219, z późn. zm., Dz. U. z 2021 Nr 1162)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Times New Roman" w:cs="Liberation Serif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pl-PL" w:eastAsia="en-US" w:bidi="ar-SA"/>
              </w:rPr>
              <w:t>art. 411 ust. 10sa ustawy P</w:t>
            </w:r>
            <w:r>
              <w:rPr>
                <w:rFonts w:eastAsia="Times New Roman" w:cs="Liberation Serif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pl-PL" w:eastAsia="en-US" w:bidi="ar-SA"/>
              </w:rPr>
              <w:t>rawo ochrony środowiska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w sprawie określenia wzoru żądania wydania zaświadczenia o wysokości przeciętnego miesięcznego dochodu jednego członka gospodarstwa domowego osoby fizycznej oraz wzoru tego zaświadczenia;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ustawy z dnia 14 czerwca 1960 r. Kodeks postępowania administracyjnego;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ustawy z dnia  14 lipca  1983 r. o narodowym zasobie archiwalnym i archiwach.</w:t>
            </w:r>
          </w:p>
        </w:tc>
      </w:tr>
      <w:tr>
        <w:trPr>
          <w:trHeight w:val="1875" w:hRule="atLeast"/>
        </w:trPr>
        <w:tc>
          <w:tcPr>
            <w:tcW w:w="674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584" w:hanging="357"/>
              <w:contextualSpacing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informacje o odbiorcach danych osobowych lub o kategoriach odbiorc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ów, jeżeli istnieją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Pani/Pana dane osobowe b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ędą udostępniane, podmiotom, którym powierzyliśmy przetwarzanie danych na podstawie zawartych umów (w szczególności z branży IT, archiwizowania), a także innym podmiotom i instytucjom upoważnionym z mocy prawa, a w szczególności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Burmistrzowi Bystrzycy Kłodzkiej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oraz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Archiwum Państwowemu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Oddział we Wrocławiu.</w:t>
            </w:r>
          </w:p>
        </w:tc>
      </w:tr>
      <w:tr>
        <w:trPr>
          <w:trHeight w:val="1695" w:hRule="atLeast"/>
        </w:trPr>
        <w:tc>
          <w:tcPr>
            <w:tcW w:w="674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584" w:hanging="357"/>
              <w:contextualSpacing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okres, przez kt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óry dane osobowe będą przechowywane, a gdy nie jest to możliwe, kryteria ustalania tego okresu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Pani/Pana dane osobowe b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ędą przetwarzane zgodnie z obowiązującymi przepisami prawa, do czasu ustania celu ich przetwarzania.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Okres przechowywania  dokumentacji w sprawach </w:t>
            </w:r>
            <w:r>
              <w:rPr>
                <w:rFonts w:eastAsia="Calibri" w:cs="Liberation Serif" w:ascii="Liberation Serif" w:hAnsi="Liberation Serif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świadczeń dla wnioskodawców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wynosi 5 lat, licząc od dnia 1 stycznia roku następnego od daty zakończenia sprawy.</w:t>
            </w:r>
          </w:p>
        </w:tc>
      </w:tr>
      <w:tr>
        <w:trPr>
          <w:trHeight w:val="1245" w:hRule="atLeast"/>
        </w:trPr>
        <w:tc>
          <w:tcPr>
            <w:tcW w:w="674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584" w:hanging="357"/>
              <w:contextualSpacing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informacje o przys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ługujących osobie, której dane dotyczą prawach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Przys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ługuje Pani/Panu prawo dostępu do swoich danych oraz ich sprostowania i uzupełnienia niekompletnych danych, w przypadku ustania celu, dla którego były przetwarzane prawo do ich usunięcia lub ograniczenia przetwarzania.</w:t>
            </w:r>
          </w:p>
        </w:tc>
      </w:tr>
      <w:tr>
        <w:trPr>
          <w:trHeight w:val="1200" w:hRule="atLeast"/>
        </w:trPr>
        <w:tc>
          <w:tcPr>
            <w:tcW w:w="674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584" w:hanging="357"/>
              <w:contextualSpacing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informacje o prawie wniesienia skargi do organu nadzorczego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Przys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ługuje Pani/Panu prawo do wniesienia skargi do organu nadzorczego [tj.: do Prezesa Urzędu Ochrony Danych Osobowych, z siedzibą w Warszawie (00-193) przy ul. Stawki 2],</w:t>
            </w:r>
          </w:p>
        </w:tc>
      </w:tr>
      <w:tr>
        <w:trPr>
          <w:trHeight w:val="3285" w:hRule="atLeast"/>
        </w:trPr>
        <w:tc>
          <w:tcPr>
            <w:tcW w:w="674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584" w:hanging="357"/>
              <w:contextualSpacing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informacje, czy podanie danych osobowych jest wymogiem ustawowym lub umownym lub warunkiem zawarcia umowy oraz czy osoba, kt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órej dane dotyczą, jest zobowiązana do ich podania i jakie są ewentualne konsekwencje niepodania </w:t>
            </w: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danych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Podanie danych osobowych jest konieczne do </w:t>
            </w:r>
            <w:r>
              <w:rPr>
                <w:rFonts w:cs="Liberation Serif" w:ascii="Liberation Serif" w:hAnsi="Liberation Serif"/>
                <w:bCs/>
                <w:color w:val="000000" w:themeColor="text1"/>
                <w:kern w:val="0"/>
                <w:sz w:val="22"/>
                <w:szCs w:val="22"/>
                <w:lang w:val="pl-PL" w:bidi="ar-SA"/>
              </w:rPr>
              <w:t>ustalania wysokości przeciętnego miesięcznego dochodu przypadającego</w:t>
            </w:r>
            <w:r>
              <w:rPr>
                <w:rFonts w:cs="Liberation Serif" w:ascii="Liberation Serif" w:hAnsi="Liberation Serif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 w:themeColor="text1"/>
                <w:kern w:val="0"/>
                <w:sz w:val="22"/>
                <w:szCs w:val="22"/>
                <w:lang w:val="pl-PL" w:bidi="ar-SA"/>
              </w:rPr>
              <w:t>na</w:t>
            </w:r>
            <w:r>
              <w:rPr>
                <w:rFonts w:cs="Liberation Serif" w:ascii="Liberation Serif" w:hAnsi="Liberation Serif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 w:themeColor="text1"/>
                <w:kern w:val="0"/>
                <w:sz w:val="22"/>
                <w:szCs w:val="22"/>
                <w:lang w:val="pl-PL" w:bidi="ar-SA"/>
              </w:rPr>
              <w:t>członka</w:t>
            </w:r>
            <w:r>
              <w:rPr>
                <w:rFonts w:cs="Liberation Serif" w:ascii="Liberation Serif" w:hAnsi="Liberation Serif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Pani/Pana gospodarstwa domowego, wydanie zaświadczenia lub innego rozstrzygnięcia w sprawie, zarchiwizowania sprawy (przekazanie dokumentów sprawy do archiwum) </w:t>
            </w:r>
            <w:r>
              <w:rPr>
                <w:rFonts w:cs="Liberation Serif" w:ascii="Liberation Serif" w:hAnsi="Liberation Serif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i wynika m. in z art. 411 ust. 10sa ustawy z dnia 27 kwietnia 2001 r. Prawo ochrony środowiska ze zmianami (t.j. Dz. U. z 2020 r. poz. 1219, z późn. zm. </w:t>
            </w:r>
            <w:bookmarkStart w:id="0" w:name="_GoBack"/>
            <w:bookmarkEnd w:id="0"/>
            <w:r>
              <w:rPr>
                <w:rFonts w:cs="Liberation Serif" w:ascii="Liberation Serif" w:hAnsi="Liberation Serif"/>
                <w:color w:val="000000" w:themeColor="text1"/>
                <w:kern w:val="0"/>
                <w:sz w:val="22"/>
                <w:szCs w:val="22"/>
                <w:lang w:val="pl-PL" w:bidi="ar-SA"/>
              </w:rPr>
              <w:t>, Dz. U. z 2021 Nr 1162) w sprawie określenia wzoru żądania wydania zaświadczenia o wysokości przeciętnego miesięcznego dochodu jednego członka gospodarstwa domowego osoby fizycznej oraz wzoru tego zaświadczenia.</w:t>
            </w:r>
          </w:p>
        </w:tc>
      </w:tr>
      <w:tr>
        <w:trPr>
          <w:trHeight w:val="1185" w:hRule="atLeast"/>
        </w:trPr>
        <w:tc>
          <w:tcPr>
            <w:tcW w:w="674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584" w:hanging="357"/>
              <w:contextualSpacing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inne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Pani/Pana dane nie b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pl-PL" w:eastAsia="en-US" w:bidi="ar-SA"/>
              </w:rPr>
              <w:t>ędą przekazywane do państwa trzeciego lub organizacji międzynarodowej, a także nie będą podlegały personalizacji ani zautomatyzowanemu podejmowaniu decyzji.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sectPr>
      <w:footerReference w:type="default" r:id="rId3"/>
      <w:type w:val="nextPage"/>
      <w:pgSz w:w="11906" w:h="16838"/>
      <w:pgMar w:left="1417" w:right="1417" w:header="0" w:top="1417" w:footer="1417" w:bottom="220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61516"/>
    <w:rPr>
      <w:color w:val="0000FF" w:themeColor="hyperlink"/>
      <w:u w:val="single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a6151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a6151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20532c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615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umig@bystrzycaklodzka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LibreOffice/7.1.4.2$Windows_X86_64 LibreOffice_project/a529a4fab45b75fefc5b6226684193eb000654f6</Application>
  <AppVersion>15.0000</AppVersion>
  <Pages>4</Pages>
  <Words>1120</Words>
  <Characters>7053</Characters>
  <CharactersWithSpaces>8103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2021-08-11T10:51:00Z</dcterms:created>
  <dc:creator>opsbystrzyca@outlook.com</dc:creator>
  <dc:description/>
  <dc:language>pl-PL</dc:language>
  <cp:lastModifiedBy/>
  <cp:lastPrinted>2021-08-12T10:24:56Z</cp:lastPrinted>
  <dcterms:modified xsi:type="dcterms:W3CDTF">2021-08-12T13:17:29Z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