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Georgia" w:hAnsi="Georg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sz w:val="20"/>
          <w:szCs w:val="20"/>
          <w:lang w:eastAsia="pl-PL"/>
        </w:rPr>
        <w:t xml:space="preserve">Załącznik nr 1 do Zarządzenia nr  11 .2019  Kierownika Ośrodka </w:t>
      </w:r>
    </w:p>
    <w:p>
      <w:pPr>
        <w:pStyle w:val="Normal"/>
        <w:spacing w:lineRule="auto" w:line="240" w:before="0" w:after="0"/>
        <w:jc w:val="right"/>
        <w:rPr>
          <w:rFonts w:ascii="Georgia" w:hAnsi="Georg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sz w:val="20"/>
          <w:szCs w:val="20"/>
          <w:lang w:eastAsia="pl-PL"/>
        </w:rPr>
        <w:t>Pomocy Społecznej w Bystrzycy Kłodzkiej z dnia 24.07.2019</w:t>
      </w:r>
    </w:p>
    <w:p>
      <w:pPr>
        <w:pStyle w:val="Normal"/>
        <w:widowControl/>
        <w:bidi w:val="0"/>
        <w:spacing w:lineRule="auto" w:line="240" w:before="0" w:after="0"/>
        <w:ind w:left="0" w:right="170" w:hanging="0"/>
        <w:jc w:val="left"/>
        <w:rPr>
          <w:rFonts w:ascii="Georgia" w:hAnsi="Georgi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Georgia" w:hAnsi="Georgia"/>
          <w:sz w:val="16"/>
          <w:szCs w:val="16"/>
          <w:lang w:eastAsia="pl-PL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170" w:hanging="0"/>
        <w:jc w:val="left"/>
        <w:rPr>
          <w:rFonts w:ascii="Georgia" w:hAnsi="Georgia" w:eastAsia="Times New Roman" w:cs="Times New Roman"/>
          <w:b/>
          <w:b/>
          <w:sz w:val="14"/>
          <w:szCs w:val="16"/>
          <w:lang w:eastAsia="pl-PL"/>
        </w:rPr>
      </w:pPr>
      <w:r>
        <w:rPr>
          <w:rFonts w:eastAsia="Times New Roman" w:cs="Times New Roman" w:ascii="Georgia" w:hAnsi="Georgia"/>
          <w:b/>
          <w:sz w:val="14"/>
          <w:szCs w:val="16"/>
          <w:lang w:eastAsia="pl-PL"/>
        </w:rPr>
      </w:r>
    </w:p>
    <w:p>
      <w:pPr>
        <w:pStyle w:val="Normal"/>
        <w:spacing w:lineRule="auto" w:line="240" w:before="0" w:after="0"/>
        <w:ind w:left="-142" w:right="0" w:hanging="0"/>
        <w:jc w:val="center"/>
        <w:rPr>
          <w:rFonts w:ascii="Georgia" w:hAnsi="Georgia" w:eastAsia="Times New Roman" w:cs="Times New Roman"/>
          <w:b/>
          <w:b/>
          <w:i/>
          <w:i/>
          <w:sz w:val="28"/>
          <w:lang w:eastAsia="pl-PL"/>
        </w:rPr>
      </w:pPr>
      <w:r>
        <w:rPr>
          <w:rFonts w:eastAsia="Times New Roman" w:cs="Times New Roman" w:ascii="Georgia" w:hAnsi="Georgia"/>
          <w:b/>
          <w:i/>
          <w:sz w:val="28"/>
          <w:lang w:eastAsia="pl-PL"/>
        </w:rPr>
        <w:t>Regulamin rekrutacji i realizacji Programu Ministerstwa Rodziny, Pracy  i Polityki Społecznej</w:t>
      </w:r>
    </w:p>
    <w:p>
      <w:pPr>
        <w:pStyle w:val="Normal"/>
        <w:spacing w:lineRule="auto" w:line="240" w:before="0" w:after="0"/>
        <w:ind w:left="-142" w:right="142" w:hanging="0"/>
        <w:jc w:val="center"/>
        <w:rPr>
          <w:rFonts w:ascii="Georgia" w:hAnsi="Georgia" w:eastAsia="Times New Roman" w:cs="Times New Roman"/>
          <w:b/>
          <w:b/>
          <w:i/>
          <w:i/>
          <w:sz w:val="28"/>
          <w:lang w:eastAsia="pl-PL"/>
        </w:rPr>
      </w:pPr>
      <w:r>
        <w:rPr>
          <w:rFonts w:eastAsia="Times New Roman" w:cs="Times New Roman" w:ascii="Georgia" w:hAnsi="Georgia"/>
          <w:b/>
          <w:i/>
          <w:sz w:val="28"/>
          <w:lang w:eastAsia="pl-PL"/>
        </w:rPr>
        <w:t>„</w:t>
      </w:r>
      <w:r>
        <w:rPr>
          <w:rFonts w:eastAsia="Times New Roman" w:cs="Times New Roman" w:ascii="Georgia" w:hAnsi="Georgia"/>
          <w:b/>
          <w:i/>
          <w:sz w:val="28"/>
          <w:lang w:eastAsia="pl-PL"/>
        </w:rPr>
        <w:t>Opieka wytchnieniowa”-edycja 2019</w:t>
      </w:r>
    </w:p>
    <w:p>
      <w:pPr>
        <w:pStyle w:val="Normal"/>
        <w:spacing w:lineRule="auto" w:line="240" w:before="0" w:after="0"/>
        <w:ind w:left="-142" w:right="142" w:hanging="0"/>
        <w:jc w:val="center"/>
        <w:rPr>
          <w:rFonts w:ascii="Georgia" w:hAnsi="Georgia" w:eastAsia="Times New Roman" w:cs="Times New Roman"/>
          <w:b/>
          <w:b/>
          <w:i/>
          <w:i/>
          <w:sz w:val="28"/>
          <w:lang w:eastAsia="pl-PL"/>
        </w:rPr>
      </w:pPr>
      <w:r>
        <w:rPr>
          <w:rFonts w:eastAsia="Times New Roman" w:cs="Times New Roman" w:ascii="Georgia" w:hAnsi="Georgia"/>
          <w:b/>
          <w:i/>
          <w:sz w:val="28"/>
          <w:lang w:eastAsia="pl-PL"/>
        </w:rPr>
        <w:t>Finansowanego z Solidarnościowego Funduszu Wsparcia Osób Niepełnosprawnych</w:t>
      </w:r>
      <w:bookmarkStart w:id="0" w:name="_GoBack"/>
      <w:bookmarkEnd w:id="0"/>
    </w:p>
    <w:p>
      <w:pPr>
        <w:pStyle w:val="Normal"/>
        <w:spacing w:lineRule="auto" w:line="240" w:before="0" w:after="0"/>
        <w:ind w:left="-142" w:right="142" w:hanging="0"/>
        <w:jc w:val="both"/>
        <w:rPr>
          <w:rFonts w:ascii="Georgia" w:hAnsi="Georgia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lang w:eastAsia="pl-PL"/>
        </w:rPr>
      </w:r>
    </w:p>
    <w:p>
      <w:pPr>
        <w:pStyle w:val="Normal"/>
        <w:widowControl/>
        <w:bidi w:val="0"/>
        <w:spacing w:lineRule="auto" w:line="240" w:before="0" w:after="0"/>
        <w:ind w:left="0" w:right="170" w:hanging="0"/>
        <w:jc w:val="both"/>
        <w:rPr>
          <w:rFonts w:ascii="Georgia" w:hAnsi="Georgia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lang w:eastAsia="pl-PL"/>
        </w:rPr>
        <w:t>Podstawa prawna Programu „Opieka wytchnieniowa”- edycja 2019:</w:t>
      </w:r>
    </w:p>
    <w:p>
      <w:pPr>
        <w:pStyle w:val="Normal"/>
        <w:widowControl/>
        <w:bidi w:val="0"/>
        <w:spacing w:lineRule="auto" w:line="240" w:before="0" w:after="0"/>
        <w:ind w:left="0" w:right="170" w:hanging="0"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>- art. 7 ust. 5 ustawy z dnia 23 października 2018 r. o Solidarnościowym Funduszu Wsparcia Osób Niepełnosprawnych (Dz.U. z 2018r. poz. 2192),</w:t>
      </w:r>
    </w:p>
    <w:p>
      <w:pPr>
        <w:pStyle w:val="Normal"/>
        <w:widowControl/>
        <w:bidi w:val="0"/>
        <w:spacing w:lineRule="auto" w:line="240" w:before="0" w:after="0"/>
        <w:ind w:left="0" w:right="170" w:hanging="0"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>- art. 17 ust. 1 pkt 11 oraz art.17 ust. 2 pkt 4 ustawy z dnia 12 marca 2004 r. o pomocy społecznej (Dz. U. z 2018 r. poz. 1508 z późn. Zm.)</w:t>
      </w:r>
    </w:p>
    <w:p>
      <w:pPr>
        <w:pStyle w:val="Normal"/>
        <w:widowControl/>
        <w:bidi w:val="0"/>
        <w:spacing w:lineRule="auto" w:line="240" w:before="0" w:after="0"/>
        <w:ind w:left="0" w:right="170" w:hanging="0"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</w:r>
    </w:p>
    <w:p>
      <w:pPr>
        <w:pStyle w:val="Normal"/>
        <w:spacing w:lineRule="auto" w:line="240" w:before="0" w:after="0"/>
        <w:ind w:left="-142" w:right="142" w:hanging="0"/>
        <w:jc w:val="center"/>
        <w:rPr>
          <w:rFonts w:ascii="Georgia" w:hAnsi="Georgia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lang w:eastAsia="pl-PL"/>
        </w:rPr>
        <w:t>§1</w:t>
      </w:r>
    </w:p>
    <w:p>
      <w:pPr>
        <w:pStyle w:val="Normal"/>
        <w:spacing w:lineRule="auto" w:line="240" w:before="0" w:after="0"/>
        <w:ind w:left="-142" w:right="142" w:hanging="0"/>
        <w:jc w:val="center"/>
        <w:rPr>
          <w:rFonts w:ascii="Georgia" w:hAnsi="Georgia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lang w:eastAsia="pl-PL"/>
        </w:rPr>
        <w:t>Postanowienia ogólne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>Celem Programu „Opieka wytchnieniowa”- edycja 2019 zwanego dalej „Programem” jest wsparcie członków rodzin lub opiekunów sprawujących bezpośrednią opiekę nad:</w:t>
      </w:r>
    </w:p>
    <w:p>
      <w:pPr>
        <w:pStyle w:val="ListParagraph"/>
        <w:widowControl/>
        <w:numPr>
          <w:ilvl w:val="1"/>
          <w:numId w:val="5"/>
        </w:numPr>
        <w:bidi w:val="0"/>
        <w:spacing w:lineRule="auto" w:line="240" w:before="0" w:after="0"/>
        <w:contextualSpacing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 xml:space="preserve">Dziećmi niepełnosprawnymi z orzeczeniem o niepełnosprawności łącznie ze wskazaniami: </w:t>
      </w:r>
    </w:p>
    <w:p>
      <w:pPr>
        <w:pStyle w:val="ListParagraph"/>
        <w:widowControl/>
        <w:numPr>
          <w:ilvl w:val="1"/>
          <w:numId w:val="6"/>
        </w:numPr>
        <w:bidi w:val="0"/>
        <w:spacing w:lineRule="auto" w:line="240" w:before="0" w:after="0"/>
        <w:contextualSpacing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>konieczności stałej lub długotrwałej opieki lub pomocy innej osoby w związku ze znacznie ograniczoną możliwością samodzielnej egzystencji i konieczności stałego współudziału na co dzień opiekuna dziecka w procesie jego leczenia, rehabilitacji i edukacji.</w:t>
      </w:r>
    </w:p>
    <w:p>
      <w:pPr>
        <w:pStyle w:val="ListParagraph"/>
        <w:widowControl/>
        <w:numPr>
          <w:ilvl w:val="1"/>
          <w:numId w:val="6"/>
        </w:numPr>
        <w:bidi w:val="0"/>
        <w:spacing w:lineRule="auto" w:line="240" w:before="0" w:after="0"/>
        <w:contextualSpacing/>
        <w:jc w:val="left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 xml:space="preserve"> </w:t>
      </w:r>
      <w:r>
        <w:rPr>
          <w:rFonts w:eastAsia="Times New Roman" w:cs="Times New Roman" w:ascii="Georgia" w:hAnsi="Georgia"/>
          <w:sz w:val="24"/>
          <w:lang w:eastAsia="pl-PL"/>
        </w:rPr>
        <w:t>Osobami ze znacznym stopniem niepełnosprawności - poprzez możliwość uzyskania doraźnej, czasowej pomocy w formie usług opieki wytchnieniowej.</w:t>
      </w:r>
    </w:p>
    <w:p>
      <w:pPr>
        <w:pStyle w:val="Normal"/>
        <w:spacing w:lineRule="auto" w:line="240" w:before="0" w:after="0"/>
        <w:ind w:left="0" w:right="142" w:hanging="0"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</w:r>
    </w:p>
    <w:p>
      <w:pPr>
        <w:pStyle w:val="Normal"/>
        <w:spacing w:lineRule="auto" w:line="240" w:before="0" w:after="0"/>
        <w:ind w:left="0" w:right="142" w:hanging="0"/>
        <w:jc w:val="center"/>
        <w:rPr>
          <w:rFonts w:ascii="Georgia" w:hAnsi="Georgia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lang w:eastAsia="pl-PL"/>
        </w:rPr>
        <w:t>§ 2</w:t>
      </w:r>
    </w:p>
    <w:p>
      <w:pPr>
        <w:pStyle w:val="Normal"/>
        <w:spacing w:lineRule="auto" w:line="240" w:before="0" w:after="0"/>
        <w:ind w:left="0" w:right="142" w:hanging="0"/>
        <w:jc w:val="center"/>
        <w:rPr>
          <w:rFonts w:ascii="Georgia" w:hAnsi="Georgia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lang w:eastAsia="pl-PL"/>
        </w:rPr>
        <w:t>Korzystanie z Programu „Opieka wytchnieniowa” edycja 2019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142" w:hanging="360"/>
        <w:contextualSpacing/>
        <w:jc w:val="both"/>
        <w:rPr>
          <w:rFonts w:ascii="Georgia" w:hAnsi="Georgia" w:eastAsia="Times New Roman" w:cs="Times New Roman"/>
          <w:sz w:val="24"/>
          <w:lang w:eastAsia="pl-PL"/>
        </w:rPr>
      </w:pPr>
      <w:r>
        <w:rPr>
          <w:rFonts w:eastAsia="Times New Roman" w:cs="Times New Roman" w:ascii="Georgia" w:hAnsi="Georgia"/>
          <w:sz w:val="24"/>
          <w:lang w:eastAsia="pl-PL"/>
        </w:rPr>
        <w:t>Program skierowany jest do osób ze znacznym stopniem niepełnosprawności oraz niepełnosprawnych dzieci będących mieszkańcami Gminy Bystrzyca Kłodzka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142" w:hanging="360"/>
        <w:contextualSpacing/>
        <w:jc w:val="both"/>
        <w:rPr>
          <w:rFonts w:ascii="Georgia" w:hAnsi="Georgia"/>
        </w:rPr>
      </w:pPr>
      <w:r>
        <w:rPr>
          <w:rFonts w:eastAsia="Times New Roman" w:cs="Times New Roman" w:ascii="Georgia" w:hAnsi="Georgia"/>
          <w:sz w:val="24"/>
          <w:lang w:eastAsia="pl-PL"/>
        </w:rPr>
        <w:t xml:space="preserve">Pomoc w postaci usług opieki wytchnieniowej w formie pobytu dziennego świadczonego w miejscu zamieszkania osoby niepełnosprawnej  lub 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>które skorzystają z ośrodka wsparcia dziennego przyznaje się osobie niepełnosprawnej na pisemny wniosek członka rodziny lub opiekuna sprawującego bezpośrednią opiekę nad osobą niepełnosprawną.</w:t>
      </w:r>
    </w:p>
    <w:p>
      <w:pPr>
        <w:pStyle w:val="ListParagraph"/>
        <w:numPr>
          <w:ilvl w:val="0"/>
          <w:numId w:val="1"/>
        </w:numPr>
        <w:spacing w:before="0" w:after="0"/>
        <w:ind w:left="720" w:right="142" w:hanging="360"/>
        <w:contextualSpacing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Do udziału w Programie zostanie zakwalifikowanych łącznie 16 osób tj.</w:t>
      </w:r>
    </w:p>
    <w:p>
      <w:pPr>
        <w:pStyle w:val="ListParagraph"/>
        <w:spacing w:before="0" w:after="0"/>
        <w:ind w:left="720" w:right="142" w:hanging="0"/>
        <w:contextualSpacing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-  11 osób, które skorzystają z pobytu dziennego w miejscu zamieszkania.</w:t>
      </w:r>
    </w:p>
    <w:p>
      <w:pPr>
        <w:pStyle w:val="ListParagraph"/>
        <w:spacing w:before="0" w:after="0"/>
        <w:ind w:left="720" w:right="142" w:hanging="0"/>
        <w:contextualSpacing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-    5 osób, które skorzystają z ośrodka wsparcia dziennego</w:t>
      </w:r>
    </w:p>
    <w:p>
      <w:pPr>
        <w:pStyle w:val="ListParagraph"/>
        <w:spacing w:before="0" w:after="0"/>
        <w:ind w:left="720" w:right="142" w:hanging="0"/>
        <w:contextualSpacing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>spełniających kryteria określone w § 1 pkt.1.1 oraz 1.2.</w:t>
      </w:r>
    </w:p>
    <w:p>
      <w:pPr>
        <w:pStyle w:val="ListParagraph"/>
        <w:numPr>
          <w:ilvl w:val="0"/>
          <w:numId w:val="1"/>
        </w:numPr>
        <w:spacing w:before="0" w:after="0"/>
        <w:ind w:left="720" w:right="142" w:hanging="360"/>
        <w:contextualSpacing/>
        <w:jc w:val="both"/>
        <w:rPr>
          <w:rFonts w:ascii="Georgia" w:hAnsi="Georgia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Wniosek </w:t>
      </w: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(Załącznik nr 1 do niniejszego Regulaminu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>) należy złożyć w wersji papierowej do Ośrodka Pomocy Społecznej w Bystrzycy Kłodzkiej ul. 1 Maja 1 pokój nr 13 do 15 sierpnia 2019 r. W przypadku nie wykorzystania limitu miejsc rekrutacja może zostać przedłużona.</w:t>
      </w:r>
    </w:p>
    <w:p>
      <w:pPr>
        <w:pStyle w:val="ListParagraph"/>
        <w:numPr>
          <w:ilvl w:val="1"/>
          <w:numId w:val="1"/>
        </w:numPr>
        <w:spacing w:before="0" w:after="0"/>
        <w:ind w:left="720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Do wniosku należy dołączyć:</w:t>
      </w:r>
    </w:p>
    <w:p>
      <w:pPr>
        <w:pStyle w:val="ListParagraph"/>
        <w:numPr>
          <w:ilvl w:val="0"/>
          <w:numId w:val="7"/>
        </w:numPr>
        <w:spacing w:before="0" w:after="0"/>
        <w:ind w:left="720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w przypadku osób niepełnosprawnych poniżej 16-go roku życia- orzeczenie                   o niepełnosprawności wraz ze wskazaniami:</w:t>
      </w:r>
    </w:p>
    <w:p>
      <w:pPr>
        <w:pStyle w:val="ListParagraph"/>
        <w:numPr>
          <w:ilvl w:val="0"/>
          <w:numId w:val="2"/>
        </w:numPr>
        <w:spacing w:before="0" w:after="0"/>
        <w:ind w:left="720" w:right="142" w:hanging="360"/>
        <w:contextualSpacing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konieczności stałej lub długotrwałej opieki lub pomocy innej osoby w związku ze znacznie ograniczoną możliwością samodzielnej egzystencji</w:t>
      </w:r>
    </w:p>
    <w:p>
      <w:pPr>
        <w:pStyle w:val="Normal"/>
        <w:numPr>
          <w:ilvl w:val="0"/>
          <w:numId w:val="2"/>
        </w:numPr>
        <w:spacing w:before="0" w:after="0"/>
        <w:ind w:left="720" w:right="142" w:hanging="360"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konieczności stałego współudziału na co dzień opiekuna dziecka w procesie jego leczenia, rehabilitacji i edukacji, albo</w:t>
      </w:r>
    </w:p>
    <w:p>
      <w:pPr>
        <w:pStyle w:val="Normal"/>
        <w:spacing w:before="0" w:after="0"/>
        <w:ind w:left="720" w:right="142" w:hanging="0"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 xml:space="preserve">2) w przypadku osób niepełnosprawnych powyżej 16-go roku życia- orzeczenie                 o znacznym stopniu niepełnosprawności w rozumieniu ustawy z dnia 27 sierpnia 1997 r. o rehabilitacji zawodowej i społecznej oraz zatrudnianiu osób niepełnosprawnych, oraz </w:t>
      </w:r>
    </w:p>
    <w:p>
      <w:pPr>
        <w:pStyle w:val="Normal"/>
        <w:spacing w:before="0" w:after="0"/>
        <w:ind w:left="720" w:right="142" w:hanging="0"/>
        <w:jc w:val="both"/>
        <w:rPr>
          <w:rFonts w:ascii="Georgia" w:hAnsi="Georgia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 xml:space="preserve">3) wypełnioną przez lekarza specjalistę  Kartę oceny stanu zdrowia osoby niepełnosprawnej wg zmodyfikowanej  skali Barthel, stanowiącej </w:t>
      </w:r>
      <w:r>
        <w:rPr>
          <w:rFonts w:eastAsia="Times New Roman" w:cs="Times New Roman" w:ascii="Georgia" w:hAnsi="Georgia"/>
          <w:b/>
          <w:bCs/>
          <w:sz w:val="24"/>
          <w:szCs w:val="24"/>
          <w:lang w:eastAsia="pl-PL"/>
        </w:rPr>
        <w:t xml:space="preserve">Załącznik nr 2 do niniejszego Regulaminu. </w:t>
      </w: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Kartę oceny stanu zdrowia wypełnia lekarz specjalista zgodnie z symbolem przyczyny niepełnosprawności znajdującej  się na orzeczeniu.</w:t>
      </w:r>
    </w:p>
    <w:p>
      <w:pPr>
        <w:pStyle w:val="Normal"/>
        <w:numPr>
          <w:ilvl w:val="1"/>
          <w:numId w:val="8"/>
        </w:numPr>
        <w:spacing w:before="0" w:after="0"/>
        <w:ind w:left="851" w:right="142" w:hanging="425"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Wnioski rozpatrywane będą przez trzy osobową Komisję Rekrutacyjną w składzie: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- Przewodniczący Komisji.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- Sekretarz Komisji.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Cs/>
          <w:sz w:val="24"/>
          <w:szCs w:val="24"/>
          <w:lang w:eastAsia="pl-PL"/>
        </w:rPr>
        <w:t>- Członek Komisji powołaną przez Kierownika Ośrodka Pomocy Społecznej                     w Bystrzycy Kłodzkiej</w:t>
      </w:r>
    </w:p>
    <w:p>
      <w:pPr>
        <w:pStyle w:val="Normal"/>
        <w:widowControl/>
        <w:numPr>
          <w:ilvl w:val="1"/>
          <w:numId w:val="10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Komisja dokona rekrutacji  wg następujących kryteriów: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- wartość punktowa wg zmodyfikowanej skali Barthel, pierwszeństwo mają osoby, które nie przekraczają 40 punków),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- data wpływu wniosku.</w:t>
      </w:r>
    </w:p>
    <w:p>
      <w:pPr>
        <w:pStyle w:val="Normal"/>
        <w:widowControl/>
        <w:numPr>
          <w:ilvl w:val="1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Z pracy Komisji sporządzony zostanie protokół.</w:t>
      </w:r>
    </w:p>
    <w:p>
      <w:pPr>
        <w:pStyle w:val="Normal"/>
        <w:widowControl/>
        <w:numPr>
          <w:ilvl w:val="1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Komisja Rekrutacyjna sporządzi listę osób zakwalifikowanych do wsparcia w ramach programu oraz listę rezerwową, z której w kolejności będą kwalifikowane osoby w przypadku rezygnacji uczestnika Programu. W przypadku wyczerpania listy rezerwowej rekrutacja do Programu zostanie wznowiona. </w:t>
      </w:r>
    </w:p>
    <w:p>
      <w:pPr>
        <w:pStyle w:val="Normal"/>
        <w:widowControl/>
        <w:numPr>
          <w:ilvl w:val="1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O wynikach rekrutacji osoby zakwalifikowane do udziału w Programie zostaną poinformowane przez pracownika socjalnego.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Pomoc w ramach niniejszego Programu przyznaje się w formie decyzji administracyjnej, po przeprowadzeniu rodzinnego wywiadu środowiskowego zgodnie z trybem przewidzianym w ustawie z dnia 12 marca 2004 r. o pomocy społecznej dla przyznania tego rodzaju usług. Wywiad zostanie przeprowadzony przez pracowników socjalnych u osób, które zostały zakwalifikowane do udziału w Programie.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Usługa opieki wytchnieniowej w miejscu zamieszkania realizowana będzie od poniedziałku do niedzieli  w godzinach 8.00- 20.00 z zastrzeżeniem, iż jednego dnia usługa może być świadczona maksymalnie 6 godzin. 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Usługa opieki wytchnieniowej dla osób niepełnosprawnych, które skorzystają z ośrodka wsparcia dziennego realizowana będzie od poniedziałku do piątku w godzinach pracy ośrodka wsparcia dziennego z zastrzeżeniem , iż jednego dnia usługa może być świadczona maksymalnie 8 godzin. W przypadku świadczenia usługi opieki wytchnieniowej w formie pobytu dziennego w wymiarze powyżej 4 godzin dziennie placówka przyjmująca dziecko z orzeczoną niepełnosprawnością lub osobę niepełnosprawną  ma obowiązek zapewnić wyżywienie odpowiednie dla potrzeb.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76" w:before="0" w:after="0"/>
        <w:ind w:left="794" w:right="0" w:hanging="34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Usługa opieki wytchnieniowej realizowana będzie na podstawie wstępnego harmonogramu , sporządzonego przez pracownika socjalnego w uzgodnieniu z członkiem rodziny lub opiekunem sprawującym bezpośrednią opiekę nad osoba niepełnosprawną.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76" w:before="0" w:after="0"/>
        <w:ind w:left="794" w:right="0" w:hanging="340"/>
        <w:jc w:val="both"/>
        <w:rPr/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Wszelkie zmiany harmonogramu członek rodziny/opiekun ma obowiązek zgłosić do pracownika socjalnego telefonicznie  lub na adres e-mail najpóźniej na dwa dni przed koniecznością dokonania zmiany - tel. 748110266, e-mail:  </w:t>
      </w:r>
      <w:hyperlink r:id="rId2">
        <w:r>
          <w:rPr>
            <w:rStyle w:val="Czeinternetowe"/>
            <w:rFonts w:eastAsia="Times New Roman" w:cs="Times New Roman" w:ascii="Georgia" w:hAnsi="Georgia"/>
            <w:sz w:val="24"/>
            <w:szCs w:val="24"/>
            <w:lang w:eastAsia="pl-PL"/>
          </w:rPr>
          <w:t>ops@bystrzycaklodzka.pl</w:t>
        </w:r>
      </w:hyperlink>
    </w:p>
    <w:p>
      <w:pPr>
        <w:pStyle w:val="Normal"/>
        <w:spacing w:before="0" w:after="0"/>
        <w:ind w:left="851" w:right="142" w:hanging="425"/>
        <w:jc w:val="center"/>
        <w:rPr>
          <w:rFonts w:ascii="Georgia" w:hAnsi="Georg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</w:r>
    </w:p>
    <w:p>
      <w:pPr>
        <w:pStyle w:val="Normal"/>
        <w:spacing w:before="0" w:after="0"/>
        <w:ind w:left="426" w:right="142" w:hanging="0"/>
        <w:jc w:val="center"/>
        <w:rPr>
          <w:rFonts w:ascii="Georgia" w:hAnsi="Georg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§3</w:t>
      </w:r>
    </w:p>
    <w:p>
      <w:pPr>
        <w:pStyle w:val="Normal"/>
        <w:spacing w:before="0" w:after="0"/>
        <w:ind w:left="426" w:right="142" w:hanging="0"/>
        <w:jc w:val="center"/>
        <w:rPr>
          <w:rFonts w:ascii="Georgia" w:hAnsi="Georg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Odpłatność za usługi świadczone w ramach Programu</w:t>
      </w:r>
    </w:p>
    <w:p>
      <w:pPr>
        <w:pStyle w:val="Normal"/>
        <w:spacing w:before="0" w:after="0"/>
        <w:ind w:left="426" w:right="142" w:hanging="0"/>
        <w:jc w:val="center"/>
        <w:rPr>
          <w:rFonts w:ascii="Georgia" w:hAnsi="Georg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„</w:t>
      </w: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Opieka wytchnieniowa”- edycja 2019</w:t>
      </w:r>
    </w:p>
    <w:p>
      <w:pPr>
        <w:pStyle w:val="ListParagraph"/>
        <w:numPr>
          <w:ilvl w:val="0"/>
          <w:numId w:val="3"/>
        </w:numPr>
        <w:spacing w:before="0" w:after="0"/>
        <w:ind w:left="786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Pomoc w postaci usług opieki wytchnieniowej w ramach ustalonych limitów                      w MODULE I tj. do 240 godzin, jest przyznawana bezpłatnie.</w:t>
      </w:r>
    </w:p>
    <w:p>
      <w:pPr>
        <w:pStyle w:val="ListParagraph"/>
        <w:numPr>
          <w:ilvl w:val="0"/>
          <w:numId w:val="3"/>
        </w:numPr>
        <w:spacing w:before="0" w:after="0"/>
        <w:ind w:left="786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Po wykorzystaniu limitu, o którym mowa w pkt.1, członek rodziny lub opiekun sprawujący bezpośrednią opiekę nad osobą niepełnosprawną, może nadal korzystać z ww. formy  usługi przez okres kolejnych 240 godzin za odpłatnością w wysokości 50% kosztów realizacji tej usługi, pod warunkiem, że dochód nie przekracza 350% obowiązującego od 1 października 2018 kryterium dochodowego określonego w art.8 ustawy z dnia 12 marca 2004 r. o pomocy społecznej (Dz.U. z 2018 r. poz.1508 z późn.zm), a Ośrodek Pomocy Społecznej w Bystrzycy Kłodzkiej posiada niewykorzystane środki na realizację usług opiekuńczych.</w:t>
      </w:r>
    </w:p>
    <w:p>
      <w:pPr>
        <w:pStyle w:val="Normal"/>
        <w:spacing w:before="0" w:after="0"/>
        <w:ind w:left="0" w:right="142" w:hanging="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</w:r>
    </w:p>
    <w:p>
      <w:pPr>
        <w:pStyle w:val="ListParagraph"/>
        <w:spacing w:before="0" w:after="0"/>
        <w:ind w:left="786" w:right="142" w:hanging="0"/>
        <w:contextualSpacing/>
        <w:jc w:val="center"/>
        <w:rPr>
          <w:rFonts w:ascii="Georgia" w:hAnsi="Georg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§4</w:t>
      </w:r>
    </w:p>
    <w:p>
      <w:pPr>
        <w:pStyle w:val="ListParagraph"/>
        <w:spacing w:before="0" w:after="0"/>
        <w:ind w:left="786" w:right="142" w:hanging="0"/>
        <w:contextualSpacing/>
        <w:jc w:val="center"/>
        <w:rPr>
          <w:rFonts w:ascii="Georgia" w:hAnsi="Georg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pl-PL"/>
        </w:rPr>
        <w:t>Postanowienia końcowe</w:t>
      </w:r>
    </w:p>
    <w:p>
      <w:pPr>
        <w:pStyle w:val="ListParagraph"/>
        <w:numPr>
          <w:ilvl w:val="0"/>
          <w:numId w:val="4"/>
        </w:numPr>
        <w:spacing w:before="0" w:after="0"/>
        <w:ind w:left="1146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W przypadku zaistnienia sytuacji nieuregulowanych niniejszym regulaminem, decyzje co do rozstrzygnięć podejmuje Kierownik Ośrodka Pomocy Społecznej w Bystrzycy Kłodzkiej.</w:t>
      </w:r>
    </w:p>
    <w:p>
      <w:pPr>
        <w:pStyle w:val="ListParagraph"/>
        <w:numPr>
          <w:ilvl w:val="0"/>
          <w:numId w:val="4"/>
        </w:numPr>
        <w:spacing w:before="0" w:after="0"/>
        <w:ind w:left="1146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Kierownik Ośrodka Pomocy Społecznej w Bystrzycy Kłodzkiej zastrzega sobie prawo do wprowadzania zmian w niniejszym regulaminie.</w:t>
      </w:r>
    </w:p>
    <w:p>
      <w:pPr>
        <w:pStyle w:val="ListParagraph"/>
        <w:numPr>
          <w:ilvl w:val="0"/>
          <w:numId w:val="4"/>
        </w:numPr>
        <w:spacing w:before="0" w:after="0"/>
        <w:ind w:left="1146" w:right="142" w:hanging="360"/>
        <w:contextualSpacing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Każdy uczestnik Programu zobowiązany jest do pisemnego zapoznania się                        z niniejszym regulaminem.</w:t>
      </w:r>
    </w:p>
    <w:p>
      <w:pPr>
        <w:pStyle w:val="Normal"/>
        <w:spacing w:before="0" w:after="0"/>
        <w:ind w:left="0" w:right="142" w:hanging="0"/>
        <w:jc w:val="center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</w:r>
    </w:p>
    <w:p>
      <w:pPr>
        <w:pStyle w:val="Normal"/>
        <w:spacing w:before="0" w:after="0"/>
        <w:ind w:left="426" w:right="142" w:hanging="0"/>
        <w:jc w:val="both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</w:r>
    </w:p>
    <w:sectPr>
      <w:footerReference w:type="default" r:id="rId3"/>
      <w:type w:val="nextPage"/>
      <w:pgSz w:w="11906" w:h="16838"/>
      <w:pgMar w:left="1134" w:right="1134" w:header="0" w:top="1134" w:footer="850" w:bottom="23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132715</wp:posOffset>
              </wp:positionV>
              <wp:extent cx="1026795" cy="596265"/>
              <wp:effectExtent l="0" t="0" r="0" b="0"/>
              <wp:wrapNone/>
              <wp:docPr id="1" name="Kształt1_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ształt1_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26000" cy="595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Kształt1_1" stroked="f" style="position:absolute;margin-left:26.3pt;margin-top:10.45pt;width:80.75pt;height:46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2091055</wp:posOffset>
          </wp:positionH>
          <wp:positionV relativeFrom="paragraph">
            <wp:posOffset>23495</wp:posOffset>
          </wp:positionV>
          <wp:extent cx="1917700" cy="745490"/>
          <wp:effectExtent l="0" t="0" r="0" b="0"/>
          <wp:wrapSquare wrapText="largest"/>
          <wp:docPr id="2" name="Obraz1" descr="Y:\logo minister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Y:\logo ministerstw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4914265</wp:posOffset>
          </wp:positionH>
          <wp:positionV relativeFrom="paragraph">
            <wp:posOffset>-15875</wp:posOffset>
          </wp:positionV>
          <wp:extent cx="685800" cy="695325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  <w:t xml:space="preserve">                                                                                                                                                   </w:t>
    </w:r>
    <w:r>
      <w:rPr>
        <w:rFonts w:eastAsia="Calibri" w:cs="Times New Roman" w:ascii="Times New Roman" w:hAnsi="Times New Roman"/>
        <w:b/>
        <w:sz w:val="14"/>
        <w:szCs w:val="20"/>
        <w:lang w:eastAsia="zh-CN"/>
      </w:rPr>
      <w:t>GMINA BYSTRZYCA KŁODZKA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/>
    </w:lvl>
    <w:lvl w:ilvl="2">
      <w:start w:val="1"/>
      <w:numFmt w:val="decimal"/>
      <w:lvlText w:val="%1.%2.%3)"/>
      <w:lvlJc w:val="right"/>
      <w:pPr>
        <w:ind w:left="2160" w:hanging="180"/>
      </w:pPr>
      <w:rPr/>
    </w:lvl>
    <w:lvl w:ilvl="3">
      <w:start w:val="1"/>
      <w:numFmt w:val="decimal"/>
      <w:lvlText w:val=" %1.%2.%3.%4 "/>
      <w:lvlJc w:val="left"/>
      <w:pPr>
        <w:ind w:left="2880" w:hanging="360"/>
      </w:pPr>
    </w:lvl>
    <w:lvl w:ilvl="4">
      <w:start w:val="1"/>
      <w:numFmt w:val="decimal"/>
      <w:lvlText w:val=" %1.%2.%3.%4.%5 "/>
      <w:lvlJc w:val="left"/>
      <w:pPr>
        <w:ind w:left="3600" w:hanging="360"/>
      </w:pPr>
    </w:lvl>
    <w:lvl w:ilvl="5">
      <w:start w:val="1"/>
      <w:numFmt w:val="decimal"/>
      <w:lvlText w:val=" %1.%2.%3.%4.%5.%6 "/>
      <w:lvlJc w:val="right"/>
      <w:pPr>
        <w:ind w:left="4320" w:hanging="180"/>
      </w:pPr>
    </w:lvl>
    <w:lvl w:ilvl="6">
      <w:start w:val="1"/>
      <w:numFmt w:val="decimal"/>
      <w:lvlText w:val=" %1.%2.%3.%4.%5.%6.%7 "/>
      <w:lvlJc w:val="left"/>
      <w:pPr>
        <w:ind w:left="5040" w:hanging="360"/>
      </w:pPr>
    </w:lvl>
    <w:lvl w:ilvl="7">
      <w:start w:val="1"/>
      <w:numFmt w:val="decimal"/>
      <w:lvlText w:val=" %1.%2.%3.%4.%5.%6.%7.%8 "/>
      <w:lvlJc w:val="left"/>
      <w:pPr>
        <w:ind w:left="5760" w:hanging="360"/>
      </w:pPr>
    </w:lvl>
    <w:lvl w:ilvl="8">
      <w:start w:val="1"/>
      <w:numFmt w:val="decimal"/>
      <w:lvlText w:val=" %1.%2.%3.%4.%5.%6.%7.%8.%9 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17"/>
        </w:tabs>
        <w:ind w:left="4317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414"/>
        </w:tabs>
        <w:ind w:left="4414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@bystrzycaklodzk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Application>LibreOffice/6.4.4.2$Windows_X86_64 LibreOffice_project/3d775be2011f3886db32dfd395a6a6d1ca2630ff</Application>
  <Pages>3</Pages>
  <Words>969</Words>
  <CharactersWithSpaces>7372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2019-07-25T10:55:00Z</dcterms:created>
  <dc:creator>Monika Waliszewska</dc:creator>
  <dc:description/>
  <dc:language>pl-PL</dc:language>
  <cp:lastModifiedBy/>
  <cp:lastPrinted>2019-08-03T07:22:00Z</cp:lastPrinted>
  <dcterms:modified xsi:type="dcterms:W3CDTF">2020-07-16T12:55:56Z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